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6110F" w14:textId="25AD2F7D" w:rsidR="00D40FA5" w:rsidRDefault="001C773C" w:rsidP="001C773C">
      <w:pPr>
        <w:jc w:val="center"/>
      </w:pPr>
      <w:r>
        <w:t>Red30’s annual conference shines a light on:</w:t>
      </w:r>
    </w:p>
    <w:p w14:paraId="00038CC1" w14:textId="233B8063" w:rsidR="001C773C" w:rsidRDefault="001C773C" w:rsidP="001C773C">
      <w:pPr>
        <w:jc w:val="center"/>
      </w:pPr>
    </w:p>
    <w:p w14:paraId="240A9843" w14:textId="77777777" w:rsidR="001C773C" w:rsidRPr="0036623D" w:rsidRDefault="001C773C" w:rsidP="001C773C">
      <w:pPr>
        <w:spacing w:line="240" w:lineRule="auto"/>
        <w:rPr>
          <w:rStyle w:val="IntenseEmphasis"/>
        </w:rPr>
      </w:pPr>
      <w:r w:rsidRPr="0036623D">
        <w:t>The distinctive ability to solve problems and use reason to reach a predefined goal or solution is what makes artificial intelligence unique. Take a deep dive into AI at this year’s Red30 conference.</w:t>
      </w:r>
    </w:p>
    <w:p w14:paraId="3CB91941" w14:textId="77777777" w:rsidR="001C773C" w:rsidRPr="001C773C" w:rsidRDefault="001C773C" w:rsidP="001C773C"/>
    <w:sectPr w:rsidR="001C773C" w:rsidRPr="001C77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73C"/>
    <w:rsid w:val="001C773C"/>
    <w:rsid w:val="00BF44F4"/>
    <w:rsid w:val="00D4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5F725"/>
  <w15:chartTrackingRefBased/>
  <w15:docId w15:val="{675B17F0-0D96-4D94-9710-74770B212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uiPriority w:val="21"/>
    <w:qFormat/>
    <w:rsid w:val="001C773C"/>
    <w:rPr>
      <w:b/>
      <w:bCs/>
      <w:caps/>
      <w:color w:val="1F3763" w:themeColor="accent1" w:themeShade="7F"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Rivers</dc:creator>
  <cp:keywords/>
  <dc:description/>
  <cp:lastModifiedBy>David Rivers</cp:lastModifiedBy>
  <cp:revision>2</cp:revision>
  <dcterms:created xsi:type="dcterms:W3CDTF">2022-11-11T15:34:00Z</dcterms:created>
  <dcterms:modified xsi:type="dcterms:W3CDTF">2022-11-11T15:34:00Z</dcterms:modified>
</cp:coreProperties>
</file>